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76B07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055227C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3F96BB4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湖北长江人民艺术剧院有限责任公司</w:t>
      </w:r>
    </w:p>
    <w:p w14:paraId="7509C0CF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B937F12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询价文件</w:t>
      </w:r>
    </w:p>
    <w:p w14:paraId="00D54372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（货物类）</w:t>
      </w:r>
    </w:p>
    <w:p w14:paraId="1542CFEC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A6DA787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154F45D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项目名称：话剧《云梦轶事》偶服制作采购项目</w:t>
      </w:r>
    </w:p>
    <w:p w14:paraId="2A299879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采购单位（公章）：湖北长江人民艺术剧院有限责任公司</w:t>
      </w:r>
    </w:p>
    <w:p w14:paraId="33F18820">
      <w:pPr>
        <w:numPr>
          <w:ilvl w:val="0"/>
          <w:numId w:val="0"/>
        </w:num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</w:p>
    <w:p w14:paraId="7D419921">
      <w:pPr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2025年9月</w:t>
      </w:r>
    </w:p>
    <w:p w14:paraId="4629FAE5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7687C3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4AD4F3">
      <w:pPr>
        <w:rPr>
          <w:rFonts w:hint="eastAsia"/>
        </w:rPr>
      </w:pPr>
    </w:p>
    <w:p w14:paraId="475C0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F6EEC7B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CF156DB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3DF3952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湖北长江人民艺术剧院有限责任公司对话剧《云梦轶事》偶服制作采购项目</w:t>
      </w:r>
      <w:r>
        <w:rPr>
          <w:rFonts w:hint="eastAsia" w:ascii="仿宋" w:hAnsi="仿宋" w:eastAsia="仿宋" w:cs="仿宋"/>
          <w:sz w:val="30"/>
          <w:szCs w:val="30"/>
        </w:rPr>
        <w:t>进行询价采购，欢迎符合相应资格条件的供应商参加。</w:t>
      </w:r>
    </w:p>
    <w:p w14:paraId="1B3CE9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项目名称：话剧《云梦轶事》偶服制作采购项目</w:t>
      </w:r>
    </w:p>
    <w:p w14:paraId="0C7F5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二、采购内容</w:t>
      </w:r>
    </w:p>
    <w:p w14:paraId="2AFAE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偶服制作采购</w:t>
      </w:r>
    </w:p>
    <w:p w14:paraId="78FA3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shd w:val="clear" w:fill="FFFFFF" w:themeFill="background1"/>
          <w:lang w:val="en-US" w:eastAsia="zh-CN"/>
        </w:rPr>
        <w:t>本项目最高限价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：10万元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（超出最高限价的报价为无效报价）</w:t>
      </w:r>
    </w:p>
    <w:p w14:paraId="6767D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四、申请单位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具备的资质条件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及要求</w:t>
      </w:r>
    </w:p>
    <w:p w14:paraId="54FEC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1.在中国境内注册并具有独立法人资格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和独立承担民事责任能力</w:t>
      </w:r>
      <w:r>
        <w:rPr>
          <w:rFonts w:hint="eastAsia" w:ascii="仿宋" w:hAnsi="仿宋" w:eastAsia="仿宋" w:cs="仿宋"/>
          <w:sz w:val="30"/>
          <w:szCs w:val="30"/>
        </w:rPr>
        <w:t>的合法企业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2A7D0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2.具有本项目的经营范围及服务能力；</w:t>
      </w:r>
    </w:p>
    <w:p w14:paraId="31D03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.具有良好的商业信誉和健全的财务会计制度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40F34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.具有履行合同所必须的设备和专业技术能力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56E59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.在经营活动中没有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违法、违规、违纪、和违约行为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18075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6.本项目不接受联合体报价，并且供应商不得将项目内容以任何方式进行转包、分包。报价单位有如下情况之一的，不得同时参加报价,一经发现将视同串标处理，相关报价均作无效报价: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两家及以上公司法定代表人为同一人的；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两家级以上公司存在直接控股或管理关系的。</w:t>
      </w:r>
    </w:p>
    <w:p w14:paraId="70DF1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7、如国家法律法规对市场准入有要求的还应符合相关规定。</w:t>
      </w:r>
    </w:p>
    <w:p w14:paraId="0900D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以上要求为本次采购申请单位应具备的基本条件，参加本次采购的申请单位须满足资格要求中的所有条款，并按照相关规定递交资格证明文件。</w:t>
      </w:r>
    </w:p>
    <w:p w14:paraId="746C2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五、获取采购询价文件</w:t>
      </w:r>
    </w:p>
    <w:p w14:paraId="1C76B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获取时间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：2025年9月17日-2025年9月19日上午10：00-11:30；下午15:00-17:00 （节假日除外）</w:t>
      </w:r>
    </w:p>
    <w:p w14:paraId="4EFCD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2.获取地点：湖北长江人民艺术剧院有限责任公司</w:t>
      </w:r>
    </w:p>
    <w:p w14:paraId="0899B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3.获取方式：现场获取或发送PDF文件到邮箱</w:t>
      </w:r>
    </w:p>
    <w:p w14:paraId="1F1AB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六、报价文件提交</w:t>
      </w:r>
    </w:p>
    <w:p w14:paraId="6834B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1.响应文件须胶装成册，封面写明项目名称、标价单位、递交时间并加盖公章，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响应文件份数需正本1份；副本1份；</w:t>
      </w:r>
    </w:p>
    <w:p w14:paraId="696F0A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报价单位须将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响应文件密封，并在封口处加盖公章，报价单位可将密封好的响应文件直接送至采购单位，或以邮寄快递的方式送达。邮寄或快递的文件必须在信封处注明“密封报价”字样。邮寄或快递送达时间晚于报价截止时间，或以传真、电子邮件、电话等方式递交的响应文件将被拒收；</w:t>
      </w:r>
    </w:p>
    <w:p w14:paraId="1C568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3.响应文件须提供的相关证明材料：</w:t>
      </w:r>
    </w:p>
    <w:p w14:paraId="4B711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①三证合一营业执照复印件；</w:t>
      </w:r>
    </w:p>
    <w:p w14:paraId="230A3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②法定代表人身份证明；</w:t>
      </w:r>
    </w:p>
    <w:p w14:paraId="7E61F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③如报价人不是法定代表人，须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提供</w:t>
      </w:r>
      <w:r>
        <w:rPr>
          <w:rFonts w:hint="eastAsia" w:ascii="仿宋" w:hAnsi="仿宋" w:eastAsia="仿宋" w:cs="仿宋"/>
          <w:sz w:val="30"/>
          <w:szCs w:val="30"/>
        </w:rPr>
        <w:t>法定代表人授权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委托</w:t>
      </w:r>
      <w:r>
        <w:rPr>
          <w:rFonts w:hint="eastAsia" w:ascii="仿宋" w:hAnsi="仿宋" w:eastAsia="仿宋" w:cs="仿宋"/>
          <w:sz w:val="30"/>
          <w:szCs w:val="30"/>
        </w:rPr>
        <w:t>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25DBD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④依法缴纳税收证明；</w:t>
      </w:r>
    </w:p>
    <w:p w14:paraId="5D848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⑤提供近期财务报表；</w:t>
      </w:r>
    </w:p>
    <w:p w14:paraId="0C0DC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⑥公司以往承接相关项目业绩证明材料；</w:t>
      </w:r>
    </w:p>
    <w:p w14:paraId="56F4A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⑦“信用中国”、“中国政府采购网”网站查询结果网页载图。</w:t>
      </w:r>
    </w:p>
    <w:p w14:paraId="3673A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⑧企业其他相关证明文件；</w:t>
      </w:r>
    </w:p>
    <w:p w14:paraId="6A1EB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响应文件第一页为文件目录，以上文件须加盖公章。</w:t>
      </w:r>
    </w:p>
    <w:p w14:paraId="4CA29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00" w:leftChars="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七、响应文件提交时间</w:t>
      </w:r>
    </w:p>
    <w:p w14:paraId="3ADAB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开始时间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：2025年9月22日9点30分（北京时间）</w:t>
      </w:r>
    </w:p>
    <w:p w14:paraId="365E4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截止时间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：2025年9月22日10点00分（北京时间）</w:t>
      </w:r>
    </w:p>
    <w:p w14:paraId="2AD9D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3.地点：湖北长江人民艺术剧院有限责任公司</w:t>
      </w:r>
    </w:p>
    <w:p w14:paraId="653FE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八、报价文件开启</w:t>
      </w:r>
    </w:p>
    <w:p w14:paraId="0A068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1.时间：收到三家及以上响应文件，在截止时间后三个工作日</w:t>
      </w:r>
    </w:p>
    <w:p w14:paraId="37597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2.地点：湖北长江人民艺术剧院有限责任公司</w:t>
      </w:r>
    </w:p>
    <w:p w14:paraId="72FD5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九、交付时间、地点</w:t>
      </w:r>
    </w:p>
    <w:p w14:paraId="1B6CF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交付地点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：武汉市武昌区</w:t>
      </w:r>
    </w:p>
    <w:p w14:paraId="0C879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交付时间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：合同签订后5日内</w:t>
      </w:r>
    </w:p>
    <w:p w14:paraId="01443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十、确定成交供应商的原则和要求</w:t>
      </w:r>
    </w:p>
    <w:p w14:paraId="7465BC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1.我方将依据《中华人民共和国招标投标法》及《湖北省演艺集团有限责任公司采购管理办法》等相关规定，对报价单位的响应文件进行评审。</w:t>
      </w:r>
    </w:p>
    <w:p w14:paraId="54C2F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2.本项目采用经评审的最低价法，供应商一次报出不可更改的价格。采购单位从价格、采购需求、经营范围及综合服务质量均能满足本次询价采购要求的供应商中，按照报价由低到高的顺序确定1名成交候选供应商。报价相同的，按类似项目业绩的数量进行排序。</w:t>
      </w:r>
    </w:p>
    <w:p w14:paraId="71B06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十一、其它要求</w:t>
      </w:r>
    </w:p>
    <w:p w14:paraId="0695A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报价单位如对我方本次询价文件做出响应，即表示认可我方提出的全部要求，且不可撤回。否则，该供应商在一年之内不得再次参与我方组织的任何采购项目。</w:t>
      </w:r>
    </w:p>
    <w:p w14:paraId="68AF5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十二、采购方、地址和联系方式：</w:t>
      </w:r>
    </w:p>
    <w:p w14:paraId="3BDDAB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采购单位名称:湖北长江人民艺术剧院有限责任公司</w:t>
      </w:r>
    </w:p>
    <w:p w14:paraId="7216D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联系人: 吴女士</w:t>
      </w:r>
    </w:p>
    <w:p w14:paraId="6D81B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联系电话:15927063706</w:t>
      </w:r>
    </w:p>
    <w:p w14:paraId="08C44E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联系地址:</w:t>
      </w:r>
      <w:r>
        <w:rPr>
          <w:rFonts w:hint="eastAsia" w:ascii="仿宋" w:hAnsi="仿宋" w:eastAsia="仿宋" w:cs="仿宋"/>
          <w:sz w:val="30"/>
          <w:szCs w:val="30"/>
        </w:rPr>
        <w:t>湖北省武汉市武昌区首义街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中山路</w:t>
      </w:r>
      <w:r>
        <w:rPr>
          <w:rFonts w:hint="eastAsia" w:ascii="仿宋" w:hAnsi="仿宋" w:eastAsia="仿宋" w:cs="仿宋"/>
          <w:sz w:val="30"/>
          <w:szCs w:val="30"/>
        </w:rPr>
        <w:t>510号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长江人民艺术剧院</w:t>
      </w:r>
    </w:p>
    <w:p w14:paraId="45A3D1A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EA62EC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85C65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CD901B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F945EE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2C3DBE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F1946F4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4BAABA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213251C">
      <w:pPr>
        <w:jc w:val="center"/>
        <w:rPr>
          <w:rFonts w:hint="default" w:ascii="宋体" w:hAnsi="宋体" w:eastAsia="宋体" w:cs="宋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 w14:paraId="759EA9F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F2DC139">
      <w:pPr>
        <w:numPr>
          <w:ilvl w:val="0"/>
          <w:numId w:val="2"/>
        </w:num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采购清单</w:t>
      </w:r>
    </w:p>
    <w:tbl>
      <w:tblPr>
        <w:tblW w:w="7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533"/>
        <w:gridCol w:w="2234"/>
        <w:gridCol w:w="1383"/>
      </w:tblGrid>
      <w:tr w14:paraId="3F4C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4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7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效果图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F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5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74A4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1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6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16510</wp:posOffset>
                  </wp:positionV>
                  <wp:extent cx="847090" cy="817245"/>
                  <wp:effectExtent l="0" t="0" r="10160" b="1905"/>
                  <wp:wrapNone/>
                  <wp:docPr id="16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F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豹子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D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78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E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D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15240</wp:posOffset>
                  </wp:positionV>
                  <wp:extent cx="832485" cy="815975"/>
                  <wp:effectExtent l="0" t="0" r="5715" b="3175"/>
                  <wp:wrapNone/>
                  <wp:docPr id="20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81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C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豹子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7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ED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B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5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31115</wp:posOffset>
                  </wp:positionV>
                  <wp:extent cx="757555" cy="708660"/>
                  <wp:effectExtent l="0" t="0" r="4445" b="15240"/>
                  <wp:wrapNone/>
                  <wp:docPr id="14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E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狸猫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A6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8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8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50165</wp:posOffset>
                  </wp:positionV>
                  <wp:extent cx="774700" cy="783590"/>
                  <wp:effectExtent l="0" t="0" r="6350" b="16510"/>
                  <wp:wrapNone/>
                  <wp:docPr id="13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0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狸猫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7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A3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0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2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55880</wp:posOffset>
                  </wp:positionV>
                  <wp:extent cx="699135" cy="715010"/>
                  <wp:effectExtent l="0" t="0" r="5715" b="8890"/>
                  <wp:wrapNone/>
                  <wp:docPr id="17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3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2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BE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C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6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25400</wp:posOffset>
                  </wp:positionV>
                  <wp:extent cx="914400" cy="813435"/>
                  <wp:effectExtent l="0" t="0" r="0" b="5715"/>
                  <wp:wrapNone/>
                  <wp:docPr id="19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2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犀牛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7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A4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2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F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46355</wp:posOffset>
                  </wp:positionV>
                  <wp:extent cx="866775" cy="826135"/>
                  <wp:effectExtent l="0" t="0" r="9525" b="12065"/>
                  <wp:wrapNone/>
                  <wp:docPr id="15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8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小鸭车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9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BD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8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A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85725</wp:posOffset>
                  </wp:positionV>
                  <wp:extent cx="447040" cy="671830"/>
                  <wp:effectExtent l="0" t="0" r="10160" b="13970"/>
                  <wp:wrapNone/>
                  <wp:docPr id="1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A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红孔雀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6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5F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D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B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33655</wp:posOffset>
                  </wp:positionV>
                  <wp:extent cx="853440" cy="810895"/>
                  <wp:effectExtent l="0" t="0" r="3810" b="8255"/>
                  <wp:wrapNone/>
                  <wp:docPr id="1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9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大雁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4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6E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D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9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101600</wp:posOffset>
                  </wp:positionV>
                  <wp:extent cx="608965" cy="661670"/>
                  <wp:effectExtent l="0" t="0" r="635" b="5080"/>
                  <wp:wrapNone/>
                  <wp:docPr id="1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0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麻雀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E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659832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1D875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报价要求</w:t>
      </w:r>
    </w:p>
    <w:p w14:paraId="37184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1、报价文件需要详细的报价清单；报价方应慎重考虑履约过程中产生的各项费用，综合考虑后给出整体报价（含税价）。</w:t>
      </w:r>
    </w:p>
    <w:p w14:paraId="0071D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2、报价清单需提供报价人姓名及联系方式。</w:t>
      </w:r>
    </w:p>
    <w:p w14:paraId="56BF2D71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三、质量要求</w:t>
      </w:r>
    </w:p>
    <w:p w14:paraId="4C065597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1.产品需能够达到演出要求；</w:t>
      </w:r>
    </w:p>
    <w:p w14:paraId="6932DA5E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2.此次提供的产品与甲方要求的</w:t>
      </w:r>
      <w:r>
        <w:rPr>
          <w:rFonts w:hint="eastAsia" w:ascii="仿宋" w:hAnsi="仿宋" w:eastAsia="仿宋" w:cs="仿宋"/>
          <w:sz w:val="30"/>
          <w:szCs w:val="30"/>
        </w:rPr>
        <w:t>商品名称、规格型号、单位、数量、技术参数等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一致；</w:t>
      </w:r>
    </w:p>
    <w:p w14:paraId="6427ABAD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3.产品能够满足多次排练及演出使用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的要求，使用正规厂家产品，须符合相关标准。</w:t>
      </w:r>
    </w:p>
    <w:p w14:paraId="3507056E">
      <w:pPr>
        <w:numPr>
          <w:ilvl w:val="0"/>
          <w:numId w:val="0"/>
        </w:numPr>
        <w:ind w:left="600" w:leftChars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四、付款方式</w:t>
      </w:r>
    </w:p>
    <w:p w14:paraId="3E70E56F">
      <w:pPr>
        <w:numPr>
          <w:ilvl w:val="0"/>
          <w:numId w:val="0"/>
        </w:numPr>
        <w:ind w:left="600"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采购方根据双方签订的采购合同履行付款。</w:t>
      </w:r>
    </w:p>
    <w:p w14:paraId="17242506">
      <w:pPr>
        <w:numPr>
          <w:ilvl w:val="0"/>
          <w:numId w:val="0"/>
        </w:numPr>
        <w:ind w:left="600"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F3CE84">
      <w:pPr>
        <w:numPr>
          <w:ilvl w:val="0"/>
          <w:numId w:val="0"/>
        </w:numPr>
        <w:ind w:firstLine="2700" w:firstLineChars="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湖北长江人民艺术剧院有限责任公司</w:t>
      </w:r>
    </w:p>
    <w:p w14:paraId="1DEACA4D">
      <w:pPr>
        <w:numPr>
          <w:ilvl w:val="0"/>
          <w:numId w:val="0"/>
        </w:numPr>
        <w:ind w:left="600" w:left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2025年9月16日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275184"/>
    <w:multiLevelType w:val="singleLevel"/>
    <w:tmpl w:val="E72751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9FBE0E"/>
    <w:multiLevelType w:val="singleLevel"/>
    <w:tmpl w:val="339FBE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52B3"/>
    <w:rsid w:val="029F0F02"/>
    <w:rsid w:val="03CC21CB"/>
    <w:rsid w:val="05452235"/>
    <w:rsid w:val="055A55B4"/>
    <w:rsid w:val="05AC4062"/>
    <w:rsid w:val="06587D46"/>
    <w:rsid w:val="067601CC"/>
    <w:rsid w:val="06A74829"/>
    <w:rsid w:val="06C4362D"/>
    <w:rsid w:val="072440CC"/>
    <w:rsid w:val="07FE491D"/>
    <w:rsid w:val="087150EF"/>
    <w:rsid w:val="08C5439D"/>
    <w:rsid w:val="08D77648"/>
    <w:rsid w:val="0B512FB6"/>
    <w:rsid w:val="0B6902FF"/>
    <w:rsid w:val="0B974E6D"/>
    <w:rsid w:val="0C0B7609"/>
    <w:rsid w:val="0C360B29"/>
    <w:rsid w:val="0D646FD0"/>
    <w:rsid w:val="0D696CDD"/>
    <w:rsid w:val="0FFD54BA"/>
    <w:rsid w:val="100131FC"/>
    <w:rsid w:val="103A670E"/>
    <w:rsid w:val="109C2F25"/>
    <w:rsid w:val="11BC387F"/>
    <w:rsid w:val="124473D0"/>
    <w:rsid w:val="129B0EEC"/>
    <w:rsid w:val="13482EF0"/>
    <w:rsid w:val="14123C2A"/>
    <w:rsid w:val="153455D7"/>
    <w:rsid w:val="15FF01DE"/>
    <w:rsid w:val="173F0F72"/>
    <w:rsid w:val="175C51BC"/>
    <w:rsid w:val="17AF2F4B"/>
    <w:rsid w:val="17C50FB3"/>
    <w:rsid w:val="17CA65CA"/>
    <w:rsid w:val="1811244B"/>
    <w:rsid w:val="182E0907"/>
    <w:rsid w:val="187C5B16"/>
    <w:rsid w:val="18BC4503"/>
    <w:rsid w:val="18DA45EA"/>
    <w:rsid w:val="19120228"/>
    <w:rsid w:val="19A35324"/>
    <w:rsid w:val="1B097409"/>
    <w:rsid w:val="1B0B3181"/>
    <w:rsid w:val="1B7F1E29"/>
    <w:rsid w:val="1BD9251F"/>
    <w:rsid w:val="1C0025BA"/>
    <w:rsid w:val="1C33298F"/>
    <w:rsid w:val="1C874A89"/>
    <w:rsid w:val="1D604AE7"/>
    <w:rsid w:val="1D6B7F07"/>
    <w:rsid w:val="1DB4365C"/>
    <w:rsid w:val="1DC00253"/>
    <w:rsid w:val="1DCF66E8"/>
    <w:rsid w:val="1DDE692B"/>
    <w:rsid w:val="1E8C6387"/>
    <w:rsid w:val="1EC51899"/>
    <w:rsid w:val="1EF06916"/>
    <w:rsid w:val="1F43738D"/>
    <w:rsid w:val="1F506AC6"/>
    <w:rsid w:val="1F6F5903"/>
    <w:rsid w:val="1F8F25D3"/>
    <w:rsid w:val="211014F1"/>
    <w:rsid w:val="225B679C"/>
    <w:rsid w:val="226C09A9"/>
    <w:rsid w:val="2277734E"/>
    <w:rsid w:val="241412F8"/>
    <w:rsid w:val="24507E57"/>
    <w:rsid w:val="2584425C"/>
    <w:rsid w:val="25AF5095"/>
    <w:rsid w:val="26435327"/>
    <w:rsid w:val="27FD20A3"/>
    <w:rsid w:val="28215D92"/>
    <w:rsid w:val="284B1061"/>
    <w:rsid w:val="28535CCD"/>
    <w:rsid w:val="28722A91"/>
    <w:rsid w:val="28C72DDD"/>
    <w:rsid w:val="28DB23E5"/>
    <w:rsid w:val="29323FCF"/>
    <w:rsid w:val="29752839"/>
    <w:rsid w:val="29CA4159"/>
    <w:rsid w:val="2A042F32"/>
    <w:rsid w:val="2A112B30"/>
    <w:rsid w:val="2AC66084"/>
    <w:rsid w:val="2AF07C9E"/>
    <w:rsid w:val="2BA03472"/>
    <w:rsid w:val="2BF37A45"/>
    <w:rsid w:val="2C840FE5"/>
    <w:rsid w:val="2D6600BB"/>
    <w:rsid w:val="2D7746A6"/>
    <w:rsid w:val="2E025B4A"/>
    <w:rsid w:val="2EA74B17"/>
    <w:rsid w:val="2ECC3769"/>
    <w:rsid w:val="2F37233F"/>
    <w:rsid w:val="2F45680A"/>
    <w:rsid w:val="2F80391D"/>
    <w:rsid w:val="30C4153F"/>
    <w:rsid w:val="311A5A74"/>
    <w:rsid w:val="31887D1C"/>
    <w:rsid w:val="31DD71CE"/>
    <w:rsid w:val="327139D7"/>
    <w:rsid w:val="33D20888"/>
    <w:rsid w:val="34402563"/>
    <w:rsid w:val="345E036E"/>
    <w:rsid w:val="363B7262"/>
    <w:rsid w:val="366854D4"/>
    <w:rsid w:val="37152F66"/>
    <w:rsid w:val="37A37B16"/>
    <w:rsid w:val="38B4055C"/>
    <w:rsid w:val="392F4087"/>
    <w:rsid w:val="3936163B"/>
    <w:rsid w:val="39F72DF7"/>
    <w:rsid w:val="3A59585F"/>
    <w:rsid w:val="3B7D732B"/>
    <w:rsid w:val="3B9F54F4"/>
    <w:rsid w:val="3BD553B9"/>
    <w:rsid w:val="3CDC4526"/>
    <w:rsid w:val="3D22018A"/>
    <w:rsid w:val="3E4E3201"/>
    <w:rsid w:val="3E725142"/>
    <w:rsid w:val="3E9E7CE5"/>
    <w:rsid w:val="3F3643C1"/>
    <w:rsid w:val="3F4C27B7"/>
    <w:rsid w:val="40860A30"/>
    <w:rsid w:val="41E2438C"/>
    <w:rsid w:val="41E53E7C"/>
    <w:rsid w:val="41EC6FB9"/>
    <w:rsid w:val="42666D6B"/>
    <w:rsid w:val="43AC0629"/>
    <w:rsid w:val="440C56F0"/>
    <w:rsid w:val="443864E5"/>
    <w:rsid w:val="44625310"/>
    <w:rsid w:val="446E1F07"/>
    <w:rsid w:val="44761F41"/>
    <w:rsid w:val="44823C05"/>
    <w:rsid w:val="457F1EF2"/>
    <w:rsid w:val="45B20519"/>
    <w:rsid w:val="464C6278"/>
    <w:rsid w:val="46BC1F65"/>
    <w:rsid w:val="47867568"/>
    <w:rsid w:val="47CA1B4A"/>
    <w:rsid w:val="48036E0A"/>
    <w:rsid w:val="481B4154"/>
    <w:rsid w:val="48AF760D"/>
    <w:rsid w:val="48B16866"/>
    <w:rsid w:val="48CE566A"/>
    <w:rsid w:val="496D5A5D"/>
    <w:rsid w:val="49E32029"/>
    <w:rsid w:val="4A404346"/>
    <w:rsid w:val="4AAC3789"/>
    <w:rsid w:val="4B83273C"/>
    <w:rsid w:val="4BDF193C"/>
    <w:rsid w:val="4C2061DD"/>
    <w:rsid w:val="4EBB043F"/>
    <w:rsid w:val="4EDF3EFD"/>
    <w:rsid w:val="4F275AD4"/>
    <w:rsid w:val="509E5922"/>
    <w:rsid w:val="510C31D4"/>
    <w:rsid w:val="514E559A"/>
    <w:rsid w:val="517D7C2E"/>
    <w:rsid w:val="51986815"/>
    <w:rsid w:val="51A73A24"/>
    <w:rsid w:val="52287B99"/>
    <w:rsid w:val="53963229"/>
    <w:rsid w:val="539F20DD"/>
    <w:rsid w:val="53BD6A07"/>
    <w:rsid w:val="54994D7E"/>
    <w:rsid w:val="55EE4C56"/>
    <w:rsid w:val="564E1B99"/>
    <w:rsid w:val="565E03C9"/>
    <w:rsid w:val="56DA342C"/>
    <w:rsid w:val="57283E05"/>
    <w:rsid w:val="57A777B2"/>
    <w:rsid w:val="585F1E3B"/>
    <w:rsid w:val="593E1901"/>
    <w:rsid w:val="59417793"/>
    <w:rsid w:val="59605E6B"/>
    <w:rsid w:val="5AE825BC"/>
    <w:rsid w:val="5B7756EE"/>
    <w:rsid w:val="5BC14BBB"/>
    <w:rsid w:val="5C515F3F"/>
    <w:rsid w:val="5D7A5DE9"/>
    <w:rsid w:val="5DF35AB3"/>
    <w:rsid w:val="5F2B0CC9"/>
    <w:rsid w:val="5F4A4D7E"/>
    <w:rsid w:val="601E438A"/>
    <w:rsid w:val="60787F3E"/>
    <w:rsid w:val="609B3C2C"/>
    <w:rsid w:val="620D0B5A"/>
    <w:rsid w:val="623E7711"/>
    <w:rsid w:val="63A948B2"/>
    <w:rsid w:val="63C60FC0"/>
    <w:rsid w:val="63C74D38"/>
    <w:rsid w:val="65155579"/>
    <w:rsid w:val="65165F77"/>
    <w:rsid w:val="657607C4"/>
    <w:rsid w:val="658A426F"/>
    <w:rsid w:val="6692787F"/>
    <w:rsid w:val="6724341E"/>
    <w:rsid w:val="67A21D44"/>
    <w:rsid w:val="68BC4E79"/>
    <w:rsid w:val="68E32614"/>
    <w:rsid w:val="6A582B8E"/>
    <w:rsid w:val="6A94006A"/>
    <w:rsid w:val="6B60619E"/>
    <w:rsid w:val="6BBC66B6"/>
    <w:rsid w:val="6BC32289"/>
    <w:rsid w:val="6C0F21D5"/>
    <w:rsid w:val="6C256AA0"/>
    <w:rsid w:val="6C7A6DEC"/>
    <w:rsid w:val="6D4318D3"/>
    <w:rsid w:val="6D486EEA"/>
    <w:rsid w:val="6D7B2E1B"/>
    <w:rsid w:val="6DF130DE"/>
    <w:rsid w:val="6E280F9B"/>
    <w:rsid w:val="6E8B3532"/>
    <w:rsid w:val="6F906926"/>
    <w:rsid w:val="6FC22F83"/>
    <w:rsid w:val="723932A5"/>
    <w:rsid w:val="724539F8"/>
    <w:rsid w:val="724E6D50"/>
    <w:rsid w:val="72785B7B"/>
    <w:rsid w:val="72BB1F0C"/>
    <w:rsid w:val="72E256EB"/>
    <w:rsid w:val="73165394"/>
    <w:rsid w:val="733F6699"/>
    <w:rsid w:val="74830A40"/>
    <w:rsid w:val="75475CD9"/>
    <w:rsid w:val="7561323F"/>
    <w:rsid w:val="76EC08E6"/>
    <w:rsid w:val="776657D8"/>
    <w:rsid w:val="7772528F"/>
    <w:rsid w:val="780D4FB8"/>
    <w:rsid w:val="78F87A16"/>
    <w:rsid w:val="795804B5"/>
    <w:rsid w:val="7A003514"/>
    <w:rsid w:val="7A2860D9"/>
    <w:rsid w:val="7AC06271"/>
    <w:rsid w:val="7B6273C9"/>
    <w:rsid w:val="7B641393"/>
    <w:rsid w:val="7B9652C4"/>
    <w:rsid w:val="7C084414"/>
    <w:rsid w:val="7C442F72"/>
    <w:rsid w:val="7CE3278B"/>
    <w:rsid w:val="7D3D00ED"/>
    <w:rsid w:val="7D4A323C"/>
    <w:rsid w:val="7D9F4904"/>
    <w:rsid w:val="7EBC14E6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ascii="Times New Roman" w:hAnsi="Times New Roman" w:eastAsia="宋体"/>
    </w:rPr>
  </w:style>
  <w:style w:type="paragraph" w:styleId="4">
    <w:name w:val="index 6"/>
    <w:basedOn w:val="1"/>
    <w:next w:val="1"/>
    <w:qFormat/>
    <w:uiPriority w:val="0"/>
    <w:pPr>
      <w:ind w:left="2100"/>
    </w:pPr>
  </w:style>
  <w:style w:type="character" w:customStyle="1" w:styleId="8">
    <w:name w:val="font6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81"/>
    <w:basedOn w:val="7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1531</Words>
  <Characters>1616</Characters>
  <Lines>0</Lines>
  <Paragraphs>0</Paragraphs>
  <TotalTime>9</TotalTime>
  <ScaleCrop>false</ScaleCrop>
  <LinksUpToDate>false</LinksUpToDate>
  <CharactersWithSpaces>1624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发威的猫</cp:lastModifiedBy>
  <cp:lastPrinted>2025-09-11T06:50:00Z</cp:lastPrinted>
  <dcterms:modified xsi:type="dcterms:W3CDTF">2025-09-16T06:45:38Z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7D601D353A2B4F8088D3D026937E9D83_12</vt:lpwstr>
  </property>
  <property fmtid="{D5CDD505-2E9C-101B-9397-08002B2CF9AE}" pid="4" name="KSOTemplateDocerSaveRecord">
    <vt:lpwstr>eyJoZGlkIjoiOTUwZjdiMjY4ZTk2MWQwOTg0ZWIxZWM4ODdmYjk3ODciLCJ1c2VySWQiOiI2OTYwOTU4MjEifQ==</vt:lpwstr>
  </property>
</Properties>
</file>